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E" w:rsidRPr="00146CEE" w:rsidRDefault="00146CEE" w:rsidP="00146CE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46CE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Число ИП в России впервые превысило число компаний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исло ИП в России впервые превысило число компаний" style="width:24pt;height:24pt"/>
        </w:pic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>Число индивидуальных предпринимателей (ИП) в России впервые превысило число компаний, свидетельствуют материалы агентства «Федеральная служба информации».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По данным на начало апреля, в РФ сейчас действуют 4,014 </w:t>
      </w:r>
      <w:proofErr w:type="spellStart"/>
      <w:proofErr w:type="gram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ИП, юрлиц — 3,98 млн.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>По словам учредителя «Федеральной службы информации» Анатолия Глобина, статистика получена на основе оперативной информации сервиса «</w:t>
      </w:r>
      <w:proofErr w:type="spell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Госреестр</w:t>
      </w:r>
      <w:proofErr w:type="spellEnd"/>
      <w:r w:rsidRPr="00146CEE">
        <w:rPr>
          <w:rFonts w:ascii="Arial" w:eastAsia="Times New Roman" w:hAnsi="Arial" w:cs="Arial"/>
          <w:color w:val="333333"/>
          <w:sz w:val="21"/>
          <w:szCs w:val="21"/>
        </w:rPr>
        <w:t>», который включает данные ЕГРЮЛ и ЕГРИП.</w:t>
      </w:r>
      <w:r w:rsidRPr="00146CE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46CEE">
        <w:rPr>
          <w:rFonts w:ascii="Arial" w:eastAsia="Times New Roman" w:hAnsi="Arial" w:cs="Arial"/>
          <w:color w:val="333333"/>
          <w:sz w:val="21"/>
          <w:szCs w:val="21"/>
        </w:rPr>
        <w:br/>
        <w:t xml:space="preserve">Как отмечает РБК, число </w:t>
      </w:r>
      <w:proofErr w:type="gram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действующих</w:t>
      </w:r>
      <w:proofErr w:type="gram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юрлиц всегда превышало число ИП, однако оно начало снижаться в 2016 году.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Число компаний, в частности, сократилось из-за серьезного усиления контроля со стороны Налоговой службы — недобросовестным бизнесменам нет смысла использовать фирмы-однодневки, объясняет председатель исполкома Российского союза налогоплательщиков Артем Кирьянов. К тому же, </w:t>
      </w:r>
      <w:proofErr w:type="gram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работающих</w:t>
      </w:r>
      <w:proofErr w:type="gram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ИП в реальности действительно больше, добавил он.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В свою очередь управляющий партнер </w:t>
      </w:r>
      <w:proofErr w:type="spell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Taxadvisor</w:t>
      </w:r>
      <w:proofErr w:type="spell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Дмитрий </w:t>
      </w:r>
      <w:proofErr w:type="spell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Костальгин</w:t>
      </w:r>
      <w:proofErr w:type="spell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считает, что ликвидация компаний связана со спадом экономики, а не исключительно с эффективным налоговым администрированием.</w:t>
      </w:r>
    </w:p>
    <w:p w:rsidR="00146CEE" w:rsidRPr="00146CEE" w:rsidRDefault="00146CEE" w:rsidP="00146CE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Ранее в марте «Известия» сообщили о том, что бизнес пожаловался </w:t>
      </w:r>
      <w:proofErr w:type="spell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президентуРоссии</w:t>
      </w:r>
      <w:proofErr w:type="spell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Владимиру Путину на инициативу Минфина включить в Налоговый кодекс шесть основных неналоговых сборов — экологический, утилизационный и курортный, плату за негативное воздействие на окружающую среду, за проезд </w:t>
      </w:r>
      <w:proofErr w:type="spellStart"/>
      <w:r w:rsidRPr="00146CEE">
        <w:rPr>
          <w:rFonts w:ascii="Arial" w:eastAsia="Times New Roman" w:hAnsi="Arial" w:cs="Arial"/>
          <w:color w:val="333333"/>
          <w:sz w:val="21"/>
          <w:szCs w:val="21"/>
        </w:rPr>
        <w:t>большегрузов</w:t>
      </w:r>
      <w:proofErr w:type="spellEnd"/>
      <w:r w:rsidRPr="00146CEE">
        <w:rPr>
          <w:rFonts w:ascii="Arial" w:eastAsia="Times New Roman" w:hAnsi="Arial" w:cs="Arial"/>
          <w:color w:val="333333"/>
          <w:sz w:val="21"/>
          <w:szCs w:val="21"/>
        </w:rPr>
        <w:t xml:space="preserve"> по автодорогам («Платон») и использование связи.</w:t>
      </w:r>
    </w:p>
    <w:p w:rsidR="00000000" w:rsidRDefault="00146C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CEE"/>
    <w:rsid w:val="0014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9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2019-04-17T05:41:00Z</dcterms:created>
  <dcterms:modified xsi:type="dcterms:W3CDTF">2019-04-17T05:41:00Z</dcterms:modified>
</cp:coreProperties>
</file>